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8" w:rsidRPr="00F718B6" w:rsidRDefault="001F1E0F" w:rsidP="001F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sub_5"/>
      <w:r w:rsidRPr="00F71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</w:t>
      </w:r>
      <w:r w:rsidRPr="00F71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</w:t>
      </w:r>
      <w:r w:rsidR="00114AC8" w:rsidRPr="00F71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контрольного мероприятия</w:t>
      </w:r>
    </w:p>
    <w:p w:rsidR="00F718B6" w:rsidRDefault="00114AC8" w:rsidP="00F718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B6">
        <w:rPr>
          <w:rFonts w:ascii="Times New Roman" w:hAnsi="Times New Roman" w:cs="Times New Roman"/>
          <w:b/>
          <w:sz w:val="28"/>
          <w:szCs w:val="28"/>
        </w:rPr>
        <w:t xml:space="preserve">«Проверка эффективности и результативности использования средств областного бюджета, направленных на реализацию подпрограммы «Охрана окружающей среды, в том числе на выполнение мероприятий Регионального проекта «Чистый воздух», в рамках государственной программы Кемеровской области – Кузбасса «Экология, недропользование и рациональное водопользование» на 2017-2024 годы» </w:t>
      </w:r>
    </w:p>
    <w:p w:rsidR="00114AC8" w:rsidRPr="00F718B6" w:rsidRDefault="00114AC8" w:rsidP="00F718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B6">
        <w:rPr>
          <w:rFonts w:ascii="Times New Roman" w:hAnsi="Times New Roman" w:cs="Times New Roman"/>
          <w:b/>
          <w:sz w:val="28"/>
          <w:szCs w:val="28"/>
        </w:rPr>
        <w:t>за 2019 год и 9 месяцев 2020 года»</w:t>
      </w:r>
    </w:p>
    <w:p w:rsidR="00F718B6" w:rsidRDefault="00F718B6" w:rsidP="00F71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B6" w:rsidRPr="006C49BD" w:rsidRDefault="00F718B6" w:rsidP="00F71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18B6" w:rsidRPr="006C49BD" w:rsidRDefault="00F718B6" w:rsidP="00F71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4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6C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9BD">
        <w:rPr>
          <w:rFonts w:ascii="Times New Roman" w:hAnsi="Times New Roman" w:cs="Times New Roman"/>
          <w:sz w:val="28"/>
          <w:szCs w:val="28"/>
        </w:rPr>
        <w:t>пункт 1.12. плана работы контрольно-счетной палаты Кемеровской области-Кузбасса на 2020 год</w:t>
      </w:r>
    </w:p>
    <w:p w:rsidR="00F718B6" w:rsidRDefault="00F718B6" w:rsidP="00F71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18B6" w:rsidRPr="006C49BD" w:rsidRDefault="00F718B6" w:rsidP="00F71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9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контрольного мероприятия: </w:t>
      </w:r>
      <w:r w:rsidRPr="006C49BD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бюджетных средств, выделенных на реализацию мероприятий подпрограммы «Охрана окружающей среды», в том числе на выполнение мероприятий Регионального проекта «Чистый воздух», в рамках государственной программы Кемеровской области – Кузбасса «Экология, недропользование и рациональное водопользование» на 2017 – 2024 годы». </w:t>
      </w:r>
    </w:p>
    <w:p w:rsidR="00F718B6" w:rsidRPr="006C49BD" w:rsidRDefault="00F718B6" w:rsidP="00F718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18B6" w:rsidRPr="006C49BD" w:rsidRDefault="00F718B6" w:rsidP="00F718B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контрольного мероприятия: </w:t>
      </w:r>
      <w:r w:rsidRPr="006C49BD">
        <w:rPr>
          <w:rFonts w:ascii="Times New Roman" w:hAnsi="Times New Roman" w:cs="Times New Roman"/>
          <w:sz w:val="28"/>
          <w:szCs w:val="28"/>
        </w:rPr>
        <w:t>Бюджетные средства, выделенные из областного бюджета в рамках госпрограммы Кемеровской области-Кузбасса «Экология, недропользование и рациональное водопользование» на 2017-2024 годы на реализацию подпрограммы «Охрана окружающей среды», в том числе на выполнение мероприятий Регионального проекта «Чистый воздух».</w:t>
      </w:r>
    </w:p>
    <w:p w:rsidR="00F718B6" w:rsidRPr="006C49BD" w:rsidRDefault="00F718B6" w:rsidP="00F718B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hAnsi="Times New Roman" w:cs="Times New Roman"/>
          <w:sz w:val="28"/>
          <w:szCs w:val="28"/>
        </w:rPr>
        <w:t>Отчет ответственного исполнителя и иных исполнителей госпрограммы, участвующих в реализации мероприятий подпрограммы «Охрана окружающей среды», о реализации плановых мероприятий и достижении целевых показателей госпрограммы.</w:t>
      </w:r>
    </w:p>
    <w:p w:rsidR="00F718B6" w:rsidRPr="006C49BD" w:rsidRDefault="00F718B6" w:rsidP="00F7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8B6" w:rsidRPr="006C49BD" w:rsidRDefault="00F718B6" w:rsidP="00F7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контрольного мероприятия:</w:t>
      </w:r>
      <w:r w:rsidRPr="006C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8B6" w:rsidRPr="006C49BD" w:rsidRDefault="00F718B6" w:rsidP="00F718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9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C49BD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Кузбасса (в проверяемом периоде -  </w:t>
      </w:r>
      <w:r w:rsidRPr="006C49BD">
        <w:rPr>
          <w:rFonts w:ascii="Times New Roman" w:eastAsiaTheme="minorEastAsia" w:hAnsi="Times New Roman" w:cs="Times New Roman"/>
          <w:sz w:val="28"/>
          <w:szCs w:val="28"/>
        </w:rPr>
        <w:t>департамент природных ресурсов и экологии Кемеровской области)</w:t>
      </w:r>
      <w:r w:rsidRPr="006C49BD">
        <w:rPr>
          <w:rFonts w:ascii="Times New Roman" w:hAnsi="Times New Roman" w:cs="Times New Roman"/>
          <w:sz w:val="28"/>
          <w:szCs w:val="28"/>
        </w:rPr>
        <w:t>;</w:t>
      </w:r>
    </w:p>
    <w:p w:rsidR="00F718B6" w:rsidRPr="006C49BD" w:rsidRDefault="00F718B6" w:rsidP="00F71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C49BD">
        <w:rPr>
          <w:rFonts w:ascii="Times New Roman" w:hAnsi="Times New Roman" w:cs="Times New Roman"/>
          <w:sz w:val="28"/>
          <w:szCs w:val="28"/>
        </w:rPr>
        <w:t>Государственное казенное учреждение «Комитет охраны окружающей среды Кузбасса».</w:t>
      </w:r>
    </w:p>
    <w:p w:rsidR="00F718B6" w:rsidRPr="006C49BD" w:rsidRDefault="00F718B6" w:rsidP="00F718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8B6" w:rsidRDefault="00F718B6" w:rsidP="00F7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период: </w:t>
      </w:r>
      <w:r w:rsidRPr="006C49BD">
        <w:rPr>
          <w:rFonts w:ascii="Times New Roman" w:hAnsi="Times New Roman" w:cs="Times New Roman"/>
          <w:sz w:val="28"/>
          <w:szCs w:val="28"/>
        </w:rPr>
        <w:t>2019 год и 9 месяцев 2020 года</w:t>
      </w:r>
    </w:p>
    <w:p w:rsidR="00F718B6" w:rsidRPr="00F718B6" w:rsidRDefault="00F718B6" w:rsidP="00F71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4AC8" w:rsidRPr="006C49BD" w:rsidRDefault="001F1E0F" w:rsidP="00F718B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установлено следующее:</w:t>
      </w:r>
    </w:p>
    <w:p w:rsidR="00114AC8" w:rsidRPr="006C49BD" w:rsidRDefault="00114AC8" w:rsidP="00114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D7353D" w:rsidRPr="006C49BD" w:rsidRDefault="00D7353D" w:rsidP="00D7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hAnsi="Times New Roman" w:cs="Times New Roman"/>
          <w:b/>
          <w:sz w:val="28"/>
          <w:szCs w:val="28"/>
        </w:rPr>
        <w:t>1.</w:t>
      </w:r>
      <w:r w:rsidRPr="006C49BD">
        <w:rPr>
          <w:rFonts w:ascii="Times New Roman" w:hAnsi="Times New Roman" w:cs="Times New Roman"/>
          <w:sz w:val="28"/>
          <w:szCs w:val="28"/>
        </w:rPr>
        <w:t xml:space="preserve"> Подпрограмма «Охрана окружающей среды» Госпрограммы в 2019 году реализована на сумму 6 876,4 тыс. рублей, что составляет 6,2% от общих исполненных расходов Госпрограммы за 2019 год в размере 111 266,7 тыс. рублей, за 9 месяцев 2020 года – на сумму 1 293,2 тыс. рублей, что составляет 2,2% от общих </w:t>
      </w:r>
      <w:r w:rsidRPr="006C49BD">
        <w:rPr>
          <w:rFonts w:ascii="Times New Roman" w:hAnsi="Times New Roman" w:cs="Times New Roman"/>
          <w:sz w:val="28"/>
          <w:szCs w:val="28"/>
        </w:rPr>
        <w:lastRenderedPageBreak/>
        <w:t>исполненных расходов Госпрограммы за 9 месяцев 2020 год в размере 59 160,4 тыс. рублей.</w:t>
      </w:r>
    </w:p>
    <w:p w:rsidR="00D7353D" w:rsidRPr="006C49BD" w:rsidRDefault="00D7353D" w:rsidP="00D7353D">
      <w:pPr>
        <w:spacing w:after="0"/>
        <w:jc w:val="both"/>
        <w:rPr>
          <w:rFonts w:ascii="Times New Roman" w:hAnsi="Times New Roman" w:cs="Times New Roman"/>
        </w:rPr>
      </w:pPr>
    </w:p>
    <w:p w:rsidR="00D7353D" w:rsidRPr="006C49BD" w:rsidRDefault="00D7353D" w:rsidP="00D73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hAnsi="Times New Roman" w:cs="Times New Roman"/>
          <w:b/>
          <w:sz w:val="28"/>
          <w:szCs w:val="28"/>
        </w:rPr>
        <w:t>2.</w:t>
      </w:r>
      <w:r w:rsidRPr="006C49BD">
        <w:rPr>
          <w:rFonts w:ascii="Times New Roman" w:hAnsi="Times New Roman" w:cs="Times New Roman"/>
          <w:sz w:val="28"/>
          <w:szCs w:val="28"/>
        </w:rPr>
        <w:t xml:space="preserve"> В нарушение п.4.1.2.4. (до 30.06.2020 – п.19.2.4) и п.2.5.2. (до 30.06.2020 – п.7.2.) Положения о госпрограммах № 58 в разделе 4 «Ресурсное обеспечение реализации государственной программы» по мероприятию № 1.11.1 подпрограммы «Охрана окружающей среды» Госпрограммы отсутствуют данные об объёме финансирования его реализации за счет средств юридических лиц, предусмотренных Региональным проектом «Чистый воздух» и Комплексным планом за 2019 год в сумме 970 500,0 тыс. рублей, за 2020 год в сумме 1 829 190,0 тыс. рублей.</w:t>
      </w:r>
    </w:p>
    <w:p w:rsidR="00D7353D" w:rsidRPr="006C49BD" w:rsidRDefault="00D7353D" w:rsidP="00D7353D">
      <w:pPr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hAnsi="Times New Roman" w:cs="Times New Roman"/>
          <w:sz w:val="28"/>
          <w:szCs w:val="28"/>
        </w:rPr>
        <w:tab/>
        <w:t xml:space="preserve">Отсутствие данных о финансировании реализации Регионального проекта «Чистый воздух» в объемах ресурсного обеспечения Госпрограммы не обеспечивает взаимосвязанность регионального проекта с государственной программой в части финансовых вложений, направленных на реализацию мероприятий. </w:t>
      </w:r>
    </w:p>
    <w:p w:rsidR="00D7353D" w:rsidRPr="002C42A0" w:rsidRDefault="00D7353D" w:rsidP="002C4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2A0">
        <w:rPr>
          <w:rFonts w:ascii="Times New Roman" w:hAnsi="Times New Roman" w:cs="Times New Roman"/>
          <w:b/>
          <w:sz w:val="28"/>
          <w:szCs w:val="28"/>
        </w:rPr>
        <w:t>3.</w:t>
      </w:r>
      <w:r w:rsidRPr="002C42A0">
        <w:rPr>
          <w:rFonts w:ascii="Times New Roman" w:hAnsi="Times New Roman" w:cs="Times New Roman"/>
          <w:sz w:val="28"/>
          <w:szCs w:val="28"/>
        </w:rPr>
        <w:t xml:space="preserve"> В нарушение п. 2.8 (до 30.06.2020 - п.8) Положения о госпрограммах № 58 оценка эффективности реализации 5-ти из 11-ти мероприятий подпрограммы «Охрана окружающей среды» Госпрограммы</w:t>
      </w:r>
      <w:r w:rsidR="002C42A0" w:rsidRPr="002C42A0">
        <w:rPr>
          <w:rFonts w:ascii="Times New Roman" w:hAnsi="Times New Roman" w:cs="Times New Roman"/>
          <w:sz w:val="28"/>
          <w:szCs w:val="28"/>
        </w:rPr>
        <w:t xml:space="preserve"> (№№ 1.4 «Развитие государственной системы экологического мониторинга», 1.6 «Осуществление регионального государственного экологического надзора», 1.7 «Выявление и оценка объектов накопленного вреда окружающей среде», 1.8 «Организация работ по ликвидации объектов накопленного вреда окружающей среде», 1.10 «Разработка и корректировка территориальной схемы обращения с отходами производства и потребления, включая ее опубликования»)</w:t>
      </w:r>
      <w:r w:rsidRPr="002C42A0">
        <w:rPr>
          <w:rFonts w:ascii="Times New Roman" w:hAnsi="Times New Roman" w:cs="Times New Roman"/>
          <w:sz w:val="28"/>
          <w:szCs w:val="28"/>
        </w:rPr>
        <w:t>, осуществляется целевыми показат</w:t>
      </w:r>
      <w:r w:rsidR="006C49BD" w:rsidRPr="002C42A0">
        <w:rPr>
          <w:rFonts w:ascii="Times New Roman" w:hAnsi="Times New Roman" w:cs="Times New Roman"/>
          <w:sz w:val="28"/>
          <w:szCs w:val="28"/>
        </w:rPr>
        <w:t>елями</w:t>
      </w:r>
      <w:r w:rsidR="00215EB7" w:rsidRPr="002C42A0">
        <w:rPr>
          <w:rFonts w:ascii="Times New Roman" w:hAnsi="Times New Roman" w:cs="Times New Roman"/>
          <w:sz w:val="28"/>
          <w:szCs w:val="28"/>
        </w:rPr>
        <w:t xml:space="preserve">, </w:t>
      </w:r>
      <w:r w:rsidR="006C49BD" w:rsidRPr="002C42A0">
        <w:rPr>
          <w:rFonts w:ascii="Times New Roman" w:hAnsi="Times New Roman" w:cs="Times New Roman"/>
          <w:sz w:val="28"/>
          <w:szCs w:val="28"/>
        </w:rPr>
        <w:t>не предусмотренными НПА</w:t>
      </w:r>
      <w:r w:rsidR="00215EB7" w:rsidRPr="002C42A0">
        <w:rPr>
          <w:rFonts w:ascii="Times New Roman" w:hAnsi="Times New Roman" w:cs="Times New Roman"/>
          <w:sz w:val="28"/>
          <w:szCs w:val="28"/>
        </w:rPr>
        <w:t>, которые Министерство разработало самостоятельно</w:t>
      </w:r>
      <w:r w:rsidR="006C49BD" w:rsidRPr="002C42A0">
        <w:rPr>
          <w:rFonts w:ascii="Times New Roman" w:hAnsi="Times New Roman" w:cs="Times New Roman"/>
          <w:sz w:val="28"/>
          <w:szCs w:val="28"/>
        </w:rPr>
        <w:t>.</w:t>
      </w:r>
      <w:r w:rsidRPr="002C4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53D" w:rsidRPr="006C49BD" w:rsidRDefault="00D7353D" w:rsidP="00D73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hAnsi="Times New Roman" w:cs="Times New Roman"/>
          <w:sz w:val="28"/>
          <w:szCs w:val="28"/>
        </w:rPr>
        <w:t xml:space="preserve">Согласно п.1.2. (до 30.06.2020 - п.2.) Положения о госпрограммах № 58, цель государственной программы – планируемый за период реализации государственной программы </w:t>
      </w:r>
      <w:r w:rsidRPr="006C49BD">
        <w:rPr>
          <w:rFonts w:ascii="Times New Roman" w:hAnsi="Times New Roman" w:cs="Times New Roman"/>
          <w:b/>
          <w:sz w:val="28"/>
          <w:szCs w:val="28"/>
        </w:rPr>
        <w:t>конечный результат</w:t>
      </w:r>
      <w:r w:rsidRPr="006C49BD">
        <w:rPr>
          <w:rFonts w:ascii="Times New Roman" w:hAnsi="Times New Roman" w:cs="Times New Roman"/>
          <w:sz w:val="28"/>
          <w:szCs w:val="28"/>
        </w:rPr>
        <w:t>, обеспечивающий реализацию одного или нескольких приоритетных направлений государственной политики в сфере социально-экономического развития Кемеровской области-Кузбасса.</w:t>
      </w:r>
    </w:p>
    <w:p w:rsidR="00D7353D" w:rsidRPr="006C49BD" w:rsidRDefault="00D7353D" w:rsidP="00D735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hAnsi="Times New Roman" w:cs="Times New Roman"/>
          <w:sz w:val="28"/>
          <w:szCs w:val="28"/>
        </w:rPr>
        <w:t>Таким образом, разработанные Министерством 5 вышеуказанных мероприятий подпрограммы «Охрана окружающей среды» Госпрограммы не обеспечивают реализацию приоритетных направлений государственной политики в целях повышения уровня экологической безопасности и сохранения природных систем, так как оценивающие их, целевые показатели, не позволяют определить конечный результат.</w:t>
      </w:r>
    </w:p>
    <w:p w:rsidR="00D7353D" w:rsidRPr="006C49BD" w:rsidRDefault="00D7353D" w:rsidP="00D7353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hAnsi="Times New Roman" w:cs="Times New Roman"/>
          <w:b/>
          <w:sz w:val="28"/>
          <w:szCs w:val="28"/>
        </w:rPr>
        <w:t>4.</w:t>
      </w:r>
      <w:r w:rsidRPr="006C49BD">
        <w:rPr>
          <w:rFonts w:ascii="Times New Roman" w:hAnsi="Times New Roman" w:cs="Times New Roman"/>
          <w:sz w:val="28"/>
          <w:szCs w:val="28"/>
        </w:rPr>
        <w:t xml:space="preserve"> В нарушение п. 2.8 (до 30.06.2020 - п.8) Положения о госпрограммах № 58 сформированный Министерством целевой показатель П.1.5.2 «Соответствие материалов инвентаризации объёма выбросов и поглощения парниковых газов в Кемеровской области законодательству Российской Федерации», оценивающий мероприятие № 1.5 подпрограммы «Охрана окружающей среды» Госпрограммы, не соответствует цели Указа Президента Российской Федерации от 30.09.2013 № 752 «О сокращении выбросов парниковых газов».  </w:t>
      </w:r>
    </w:p>
    <w:p w:rsidR="00D7353D" w:rsidRPr="006C49BD" w:rsidRDefault="00D7353D" w:rsidP="00D735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53D" w:rsidRPr="006C49BD" w:rsidRDefault="00D7353D" w:rsidP="00D735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hAnsi="Times New Roman" w:cs="Times New Roman"/>
          <w:b/>
          <w:sz w:val="28"/>
          <w:szCs w:val="28"/>
        </w:rPr>
        <w:t>5.</w:t>
      </w:r>
      <w:r w:rsidRPr="006C49BD">
        <w:rPr>
          <w:rFonts w:ascii="Times New Roman" w:hAnsi="Times New Roman" w:cs="Times New Roman"/>
          <w:sz w:val="28"/>
          <w:szCs w:val="28"/>
        </w:rPr>
        <w:t xml:space="preserve"> В нарушение п.1.2. (до 30.06.2020 - п.2.) Положения о госпрограммах № 58 реализация мероприятия 1.6. «Осуществление регионального экологического надзора» подпрограммы «Охрана окружающей среды» Госпрограммы не взаимоувязана с ресурсным обеспечением, так как его финансирование предусмотрено и фактически осуществляется Министерством в рамках реализации мероприятия № 4.1 «Материально-техническое обеспечение осуществления регионального государственного экологического надзора», подпрограммы 4.«Обеспечение реализации Государственной программы» Госпрограммы.   </w:t>
      </w:r>
    </w:p>
    <w:p w:rsidR="00D7353D" w:rsidRPr="006C49BD" w:rsidRDefault="00D7353D" w:rsidP="00D73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hAnsi="Times New Roman" w:cs="Times New Roman"/>
          <w:sz w:val="28"/>
          <w:szCs w:val="28"/>
        </w:rPr>
        <w:t>Кроме того, в нарушение п. 4 Общих требований к порядку составления, утверждения и ведения бюджетной сметы казенного учреждения, утвержденного приказом Министерства финансов Российской Федерации от 20.11.2007 № 112н в редакции от  23.03.2018 Министерством при формировании сметы на 2019 год вышеуказанные расходы на оплату услуг привлеченных экспертов в сумме 16,8 тыс. рублей, не запланированы в целях реализации мероприятия № 1.6 «Осуществление регионального государственного экологического надзора» подпрограммы «Охрана окружающей среды» Госпрограммы, что привело к искажению данных Приложения № 7 «Распределение бюджетных ассигнований областного бюджета по целевым статьям (государственным программам и непрограммным направлениям деятельности), группам и подгруппам видов классификации расходов бюджетов на 2019 год и на плановый период 2020 и 2021 годов» и Приложения № 9 «Ведомственная структура расходов на 2019 год и на плановый период 2020 и 2021 годов»</w:t>
      </w:r>
      <w:r w:rsidRPr="006C49BD">
        <w:rPr>
          <w:rFonts w:ascii="Times New Roman" w:hAnsi="Times New Roman" w:cs="Times New Roman"/>
        </w:rPr>
        <w:t xml:space="preserve"> </w:t>
      </w:r>
      <w:r w:rsidRPr="006C49BD">
        <w:rPr>
          <w:rFonts w:ascii="Times New Roman" w:hAnsi="Times New Roman" w:cs="Times New Roman"/>
          <w:sz w:val="28"/>
          <w:szCs w:val="28"/>
        </w:rPr>
        <w:t>в Законе Кемеровской области от 14 декабря 2018 г. N 107-ОЗ «Об областном бюджете на 2019 год и на плановый период 2020 и 2021 годов» в редакции от 20.12.2019.</w:t>
      </w:r>
    </w:p>
    <w:p w:rsidR="00857C58" w:rsidRPr="006E67CB" w:rsidRDefault="00857C58" w:rsidP="00857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6D0" w:rsidRDefault="00D7353D" w:rsidP="00857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hAnsi="Times New Roman" w:cs="Times New Roman"/>
          <w:b/>
          <w:sz w:val="28"/>
          <w:szCs w:val="28"/>
        </w:rPr>
        <w:t>6.</w:t>
      </w:r>
      <w:r w:rsidRPr="006C49BD">
        <w:rPr>
          <w:rFonts w:ascii="Times New Roman" w:hAnsi="Times New Roman" w:cs="Times New Roman"/>
          <w:sz w:val="28"/>
          <w:szCs w:val="28"/>
        </w:rPr>
        <w:t xml:space="preserve"> </w:t>
      </w:r>
      <w:r w:rsidR="001236D0">
        <w:rPr>
          <w:rFonts w:ascii="Times New Roman" w:hAnsi="Times New Roman" w:cs="Times New Roman"/>
          <w:sz w:val="28"/>
          <w:szCs w:val="28"/>
        </w:rPr>
        <w:t>В</w:t>
      </w:r>
      <w:r w:rsidR="001236D0" w:rsidRPr="006C49BD">
        <w:rPr>
          <w:rFonts w:ascii="Times New Roman" w:hAnsi="Times New Roman" w:cs="Times New Roman"/>
          <w:sz w:val="28"/>
          <w:szCs w:val="28"/>
        </w:rPr>
        <w:t xml:space="preserve"> 2019 году из 21 предусмотренных показателей оценки эффективности реализации мероприятий подпрограммы «Охрана окружающей среды» Госпрограммы по 6-ти показателям плановые значения равны «0», при наличии количественных измерений</w:t>
      </w:r>
      <w:r w:rsidR="001236D0">
        <w:rPr>
          <w:rFonts w:ascii="Times New Roman" w:hAnsi="Times New Roman" w:cs="Times New Roman"/>
          <w:sz w:val="28"/>
          <w:szCs w:val="28"/>
        </w:rPr>
        <w:t>.</w:t>
      </w:r>
    </w:p>
    <w:p w:rsidR="00D7353D" w:rsidRPr="006C49BD" w:rsidRDefault="00D7353D" w:rsidP="00857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hAnsi="Times New Roman" w:cs="Times New Roman"/>
          <w:sz w:val="28"/>
          <w:szCs w:val="28"/>
        </w:rPr>
        <w:t>В нарушение п.1 раздела 6 «Методики оценки эффективности Государственной программы» Госпрограммы в расчёте Оценки эффективности Госпрограммы за 2019 год по</w:t>
      </w:r>
      <w:r w:rsidR="004964AF">
        <w:rPr>
          <w:rFonts w:ascii="Times New Roman" w:hAnsi="Times New Roman" w:cs="Times New Roman"/>
          <w:sz w:val="28"/>
          <w:szCs w:val="28"/>
        </w:rPr>
        <w:t xml:space="preserve"> определенной методикой</w:t>
      </w:r>
      <w:r w:rsidRPr="006C49BD">
        <w:rPr>
          <w:rFonts w:ascii="Times New Roman" w:hAnsi="Times New Roman" w:cs="Times New Roman"/>
          <w:sz w:val="28"/>
          <w:szCs w:val="28"/>
        </w:rPr>
        <w:t xml:space="preserve"> формуле, при определении коэффициента достижения плановых значений целевых показателей Министерством неправомерно исключены вышеуказанные показатели из количества целевых показателей (индикаторов) Государственной программы.</w:t>
      </w:r>
    </w:p>
    <w:p w:rsidR="00857C58" w:rsidRPr="006C49BD" w:rsidRDefault="00D7353D" w:rsidP="00857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hAnsi="Times New Roman" w:cs="Times New Roman"/>
          <w:sz w:val="28"/>
          <w:szCs w:val="28"/>
        </w:rPr>
        <w:t xml:space="preserve">В результате данного нарушения, показатель </w:t>
      </w:r>
      <w:r w:rsidR="001236D0">
        <w:rPr>
          <w:rFonts w:ascii="Times New Roman" w:hAnsi="Times New Roman" w:cs="Times New Roman"/>
          <w:sz w:val="28"/>
          <w:szCs w:val="28"/>
        </w:rPr>
        <w:t>знаменателя</w:t>
      </w:r>
      <w:r w:rsidR="001236D0" w:rsidRPr="006C49BD">
        <w:rPr>
          <w:rFonts w:ascii="Times New Roman" w:hAnsi="Times New Roman" w:cs="Times New Roman"/>
          <w:sz w:val="28"/>
          <w:szCs w:val="28"/>
        </w:rPr>
        <w:t xml:space="preserve"> </w:t>
      </w:r>
      <w:r w:rsidRPr="006C49BD">
        <w:rPr>
          <w:rFonts w:ascii="Times New Roman" w:hAnsi="Times New Roman" w:cs="Times New Roman"/>
          <w:sz w:val="28"/>
          <w:szCs w:val="28"/>
        </w:rPr>
        <w:t>формулы занижен на 6 значений, а критерии Оценки эффективности реализации госпрограммы необоснованно завышены.</w:t>
      </w:r>
    </w:p>
    <w:p w:rsidR="00D7353D" w:rsidRPr="006C49BD" w:rsidRDefault="00D7353D" w:rsidP="00857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hAnsi="Times New Roman" w:cs="Times New Roman"/>
          <w:sz w:val="28"/>
          <w:szCs w:val="28"/>
        </w:rPr>
        <w:t xml:space="preserve">Учитывая, что согласно «Оценке эффективности государственной программы Кемеровской области-Кузбасса «Экология, недропользование и рациональное водопользование» за 2019 годы, подписанной директором Госпрограммы, эффективность реализации Государственной программы оценена как </w:t>
      </w:r>
      <w:r w:rsidRPr="006C49BD">
        <w:rPr>
          <w:rFonts w:ascii="Times New Roman" w:hAnsi="Times New Roman" w:cs="Times New Roman"/>
          <w:sz w:val="28"/>
          <w:szCs w:val="28"/>
        </w:rPr>
        <w:lastRenderedPageBreak/>
        <w:t>«высокоэффективная» (К</w:t>
      </w:r>
      <w:r w:rsidRPr="006C49BD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6C49BD">
        <w:rPr>
          <w:rFonts w:ascii="Times New Roman" w:hAnsi="Times New Roman" w:cs="Times New Roman"/>
          <w:sz w:val="28"/>
          <w:szCs w:val="28"/>
        </w:rPr>
        <w:t xml:space="preserve"> &gt; 100%), наличие вышеуказанных 6 показателей эффективности реализации подпрограммы «Охрана окружающей среды» Госпрограммы, по которым отсутствуют плановые и фактические показатели, является сомнительным, так как их присутствие, в оценке мероприятий, направленных на достижение цели – повышение уровня экологической безопасности и сохранение природных систем носит формальный характер.   </w:t>
      </w:r>
    </w:p>
    <w:p w:rsidR="00D7353D" w:rsidRPr="006C49BD" w:rsidRDefault="00D7353D" w:rsidP="00D7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53D" w:rsidRPr="006C49BD" w:rsidRDefault="00D7353D" w:rsidP="00D7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hAnsi="Times New Roman" w:cs="Times New Roman"/>
          <w:b/>
          <w:sz w:val="28"/>
          <w:szCs w:val="28"/>
        </w:rPr>
        <w:t>7.</w:t>
      </w:r>
      <w:r w:rsidRPr="006C49BD">
        <w:rPr>
          <w:rFonts w:ascii="Times New Roman" w:hAnsi="Times New Roman" w:cs="Times New Roman"/>
          <w:sz w:val="28"/>
          <w:szCs w:val="28"/>
        </w:rPr>
        <w:t xml:space="preserve"> При анализе плановых и фактических значений показателя П.1.3.1 «Количество посещений официальных сайтов», о</w:t>
      </w:r>
      <w:r w:rsidR="004964AF">
        <w:rPr>
          <w:rFonts w:ascii="Times New Roman" w:hAnsi="Times New Roman" w:cs="Times New Roman"/>
          <w:sz w:val="28"/>
          <w:szCs w:val="28"/>
        </w:rPr>
        <w:t>ценивающего мероприятие № 1.3 «</w:t>
      </w:r>
      <w:r w:rsidRPr="006C49BD">
        <w:rPr>
          <w:rFonts w:ascii="Times New Roman" w:hAnsi="Times New Roman" w:cs="Times New Roman"/>
          <w:sz w:val="28"/>
          <w:szCs w:val="28"/>
        </w:rPr>
        <w:t>Информирование и экологическое просвещение населения о состоянии окружающей среды», установлено, что его планирование на текущий год осуществляется Министерством формально без учета фактически достигнутого значения показателя в предыдущем году (годах), который значительно выше планового и имеет тенденцию к увеличению.</w:t>
      </w:r>
    </w:p>
    <w:p w:rsidR="00D7353D" w:rsidRPr="006C49BD" w:rsidRDefault="00D7353D" w:rsidP="00D735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hAnsi="Times New Roman" w:cs="Times New Roman"/>
          <w:sz w:val="28"/>
          <w:szCs w:val="28"/>
        </w:rPr>
        <w:t>Таким образом, происходит систематическое занижение планового значения вышеназванного показателя, что необоснованно обеспечивает его достижение, и влияет на результаты оценки эффективности реализации государственной программы.</w:t>
      </w:r>
    </w:p>
    <w:p w:rsidR="00D7353D" w:rsidRPr="006C49BD" w:rsidRDefault="00D7353D" w:rsidP="00857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53D" w:rsidRPr="006C49BD" w:rsidRDefault="00D7353D" w:rsidP="00857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BD">
        <w:rPr>
          <w:rFonts w:ascii="Times New Roman" w:hAnsi="Times New Roman" w:cs="Times New Roman"/>
          <w:b/>
          <w:sz w:val="28"/>
          <w:szCs w:val="28"/>
        </w:rPr>
        <w:t>8.</w:t>
      </w:r>
      <w:r w:rsidRPr="006C49BD">
        <w:rPr>
          <w:rFonts w:ascii="Times New Roman" w:hAnsi="Times New Roman" w:cs="Times New Roman"/>
          <w:sz w:val="28"/>
          <w:szCs w:val="28"/>
        </w:rPr>
        <w:t xml:space="preserve"> В связи с расхождением данных о размере объема выбросов загрязняющих веществ в атмосферный воздух от стационарных источников в г. Новокузнецке в 2019 году, отраженных на официальном сайте </w:t>
      </w:r>
      <w:proofErr w:type="spellStart"/>
      <w:r w:rsidRPr="006C49BD">
        <w:rPr>
          <w:rFonts w:ascii="Times New Roman" w:hAnsi="Times New Roman" w:cs="Times New Roman"/>
          <w:sz w:val="28"/>
          <w:szCs w:val="28"/>
        </w:rPr>
        <w:t>Росприродназора</w:t>
      </w:r>
      <w:proofErr w:type="spellEnd"/>
      <w:r w:rsidRPr="006C49BD">
        <w:rPr>
          <w:rFonts w:ascii="Times New Roman" w:hAnsi="Times New Roman" w:cs="Times New Roman"/>
          <w:sz w:val="28"/>
          <w:szCs w:val="28"/>
        </w:rPr>
        <w:t xml:space="preserve"> с данными Министерства, подтвердить выполнение фактического значения целевого показателя П.1.11.1 «Снижение совокупного объема выбросов в городе Новокузнецке» в размере 96,0%, оценивающего мероприятие № 1.11.1 «Контроль за реализацией мероприятий комплексного плана регионального проекта  «Чистый воздух»» подпрограммы «Охрана окружающей среды» Госпрограммы за 2019 год не предоставляется возможным.</w:t>
      </w:r>
    </w:p>
    <w:p w:rsidR="00857C58" w:rsidRPr="006C49BD" w:rsidRDefault="00857C58" w:rsidP="00857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C8" w:rsidRPr="006C49BD" w:rsidRDefault="00857C58" w:rsidP="00215C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9B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15C73" w:rsidRPr="006C49BD">
        <w:rPr>
          <w:rFonts w:ascii="Times New Roman" w:eastAsiaTheme="minorEastAsia" w:hAnsi="Times New Roman" w:cs="Times New Roman"/>
          <w:sz w:val="28"/>
          <w:szCs w:val="28"/>
        </w:rPr>
        <w:t xml:space="preserve">ГКУ «Комитет охраны окружающей среды Кузбасса» полученные в проверяемом периоде средства областного бюджета использованы на выполнение мероприятий подпрограммы «Охрана окружающей среды» Госпрограммы в полном объёме в соответствии с утвержденной бюджетной сметой на 2019 и 2020 годы.  </w:t>
      </w:r>
      <w:r w:rsidR="00215C73" w:rsidRPr="006C49BD">
        <w:rPr>
          <w:rFonts w:ascii="Times New Roman" w:eastAsiaTheme="minorEastAsia" w:hAnsi="Times New Roman" w:cs="Times New Roman"/>
          <w:color w:val="FF0000"/>
          <w:sz w:val="28"/>
          <w:szCs w:val="28"/>
        </w:rPr>
        <w:tab/>
      </w:r>
      <w:r w:rsidR="00215C73" w:rsidRPr="006C49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964AF" w:rsidRDefault="004964AF" w:rsidP="00114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9B8" w:rsidRDefault="00F718B6" w:rsidP="00F718B6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проверки 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министерство</w:t>
      </w:r>
      <w:r w:rsidRPr="006C49BD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Кузбасса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направлено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представление контрольно-счетной палаты Кемеровской области - Кузбасса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принятия мер по устранению выявленных нарушений и недостатков.</w:t>
      </w:r>
    </w:p>
    <w:p w:rsidR="00F718B6" w:rsidRPr="006C49BD" w:rsidRDefault="00F718B6" w:rsidP="00F718B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6C49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Законодательное собрание Кемеровской области - Кузбасса.</w:t>
      </w:r>
    </w:p>
    <w:p w:rsidR="00F718B6" w:rsidRPr="006C49BD" w:rsidRDefault="00F718B6" w:rsidP="00F71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лена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Губернатору Кузбасса.</w:t>
      </w:r>
      <w:bookmarkStart w:id="1" w:name="_GoBack"/>
      <w:bookmarkEnd w:id="1"/>
    </w:p>
    <w:sectPr w:rsidR="00F718B6" w:rsidRPr="006C49BD" w:rsidSect="00EF3F65">
      <w:footerReference w:type="default" r:id="rId7"/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D6" w:rsidRDefault="00E073D6">
      <w:pPr>
        <w:spacing w:after="0" w:line="240" w:lineRule="auto"/>
      </w:pPr>
      <w:r>
        <w:separator/>
      </w:r>
    </w:p>
  </w:endnote>
  <w:endnote w:type="continuationSeparator" w:id="0">
    <w:p w:rsidR="00E073D6" w:rsidRDefault="00E0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062709"/>
      <w:docPartObj>
        <w:docPartGallery w:val="Page Numbers (Bottom of Page)"/>
        <w:docPartUnique/>
      </w:docPartObj>
    </w:sdtPr>
    <w:sdtEndPr/>
    <w:sdtContent>
      <w:p w:rsidR="006E67CB" w:rsidRDefault="006E67CB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718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67CB" w:rsidRDefault="006E67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D6" w:rsidRDefault="00E073D6">
      <w:pPr>
        <w:spacing w:after="0" w:line="240" w:lineRule="auto"/>
      </w:pPr>
      <w:r>
        <w:separator/>
      </w:r>
    </w:p>
  </w:footnote>
  <w:footnote w:type="continuationSeparator" w:id="0">
    <w:p w:rsidR="00E073D6" w:rsidRDefault="00E07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61F"/>
    <w:multiLevelType w:val="hybridMultilevel"/>
    <w:tmpl w:val="BED69EDA"/>
    <w:lvl w:ilvl="0" w:tplc="5EA09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45004"/>
    <w:multiLevelType w:val="hybridMultilevel"/>
    <w:tmpl w:val="C850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4072"/>
    <w:multiLevelType w:val="hybridMultilevel"/>
    <w:tmpl w:val="D77A08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F67CA2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405A7"/>
    <w:multiLevelType w:val="hybridMultilevel"/>
    <w:tmpl w:val="3BAC8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10C8"/>
    <w:multiLevelType w:val="multilevel"/>
    <w:tmpl w:val="5C8493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 w15:restartNumberingAfterBreak="0">
    <w:nsid w:val="2C2011C5"/>
    <w:multiLevelType w:val="hybridMultilevel"/>
    <w:tmpl w:val="C6009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85C50"/>
    <w:multiLevelType w:val="hybridMultilevel"/>
    <w:tmpl w:val="4750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B171F"/>
    <w:multiLevelType w:val="hybridMultilevel"/>
    <w:tmpl w:val="72885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730D0"/>
    <w:multiLevelType w:val="hybridMultilevel"/>
    <w:tmpl w:val="97308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6A9D"/>
    <w:multiLevelType w:val="hybridMultilevel"/>
    <w:tmpl w:val="CDB41FE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3D1A465E"/>
    <w:multiLevelType w:val="hybridMultilevel"/>
    <w:tmpl w:val="AACC04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51516A2F"/>
    <w:multiLevelType w:val="hybridMultilevel"/>
    <w:tmpl w:val="1BD2CAB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44D57E5"/>
    <w:multiLevelType w:val="hybridMultilevel"/>
    <w:tmpl w:val="499C5A4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73EAE"/>
    <w:multiLevelType w:val="hybridMultilevel"/>
    <w:tmpl w:val="939E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923AC"/>
    <w:multiLevelType w:val="hybridMultilevel"/>
    <w:tmpl w:val="5C18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07812"/>
    <w:multiLevelType w:val="hybridMultilevel"/>
    <w:tmpl w:val="E94CB6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1096223"/>
    <w:multiLevelType w:val="hybridMultilevel"/>
    <w:tmpl w:val="6C56A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B66B3"/>
    <w:multiLevelType w:val="hybridMultilevel"/>
    <w:tmpl w:val="E1727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4"/>
  </w:num>
  <w:num w:numId="5">
    <w:abstractNumId w:val="1"/>
  </w:num>
  <w:num w:numId="6">
    <w:abstractNumId w:val="7"/>
  </w:num>
  <w:num w:numId="7">
    <w:abstractNumId w:val="15"/>
  </w:num>
  <w:num w:numId="8">
    <w:abstractNumId w:val="17"/>
  </w:num>
  <w:num w:numId="9">
    <w:abstractNumId w:val="8"/>
  </w:num>
  <w:num w:numId="10">
    <w:abstractNumId w:val="5"/>
  </w:num>
  <w:num w:numId="11">
    <w:abstractNumId w:val="16"/>
  </w:num>
  <w:num w:numId="12">
    <w:abstractNumId w:val="12"/>
  </w:num>
  <w:num w:numId="13">
    <w:abstractNumId w:val="3"/>
  </w:num>
  <w:num w:numId="14">
    <w:abstractNumId w:val="9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9B"/>
    <w:rsid w:val="0008186C"/>
    <w:rsid w:val="000861ED"/>
    <w:rsid w:val="000A6D3E"/>
    <w:rsid w:val="000E53D7"/>
    <w:rsid w:val="00114AC8"/>
    <w:rsid w:val="001236D0"/>
    <w:rsid w:val="001B6D95"/>
    <w:rsid w:val="001C16D9"/>
    <w:rsid w:val="001E191C"/>
    <w:rsid w:val="001F1E0F"/>
    <w:rsid w:val="00215C73"/>
    <w:rsid w:val="00215EB7"/>
    <w:rsid w:val="00235D27"/>
    <w:rsid w:val="0027721D"/>
    <w:rsid w:val="002C42A0"/>
    <w:rsid w:val="003569B8"/>
    <w:rsid w:val="00385193"/>
    <w:rsid w:val="003B51E1"/>
    <w:rsid w:val="003D6BA1"/>
    <w:rsid w:val="00484351"/>
    <w:rsid w:val="004964AF"/>
    <w:rsid w:val="004B1EFF"/>
    <w:rsid w:val="004E5AFF"/>
    <w:rsid w:val="004F795A"/>
    <w:rsid w:val="005874DD"/>
    <w:rsid w:val="00587B27"/>
    <w:rsid w:val="00592103"/>
    <w:rsid w:val="005979A0"/>
    <w:rsid w:val="005A49C2"/>
    <w:rsid w:val="005C7A39"/>
    <w:rsid w:val="005D389B"/>
    <w:rsid w:val="0062222E"/>
    <w:rsid w:val="00632FC3"/>
    <w:rsid w:val="00684EEC"/>
    <w:rsid w:val="006C49BD"/>
    <w:rsid w:val="006E67CB"/>
    <w:rsid w:val="007F77D5"/>
    <w:rsid w:val="00857C58"/>
    <w:rsid w:val="00935A2B"/>
    <w:rsid w:val="00954F2A"/>
    <w:rsid w:val="00B54088"/>
    <w:rsid w:val="00B90D05"/>
    <w:rsid w:val="00BB61A8"/>
    <w:rsid w:val="00C62B85"/>
    <w:rsid w:val="00D7353D"/>
    <w:rsid w:val="00E073D6"/>
    <w:rsid w:val="00E63E68"/>
    <w:rsid w:val="00E73CFC"/>
    <w:rsid w:val="00EF3F65"/>
    <w:rsid w:val="00F04D00"/>
    <w:rsid w:val="00F111CD"/>
    <w:rsid w:val="00F45CE0"/>
    <w:rsid w:val="00F464EC"/>
    <w:rsid w:val="00F57627"/>
    <w:rsid w:val="00F718B6"/>
    <w:rsid w:val="00FE7A69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CE13C-08B1-48AB-9DDB-5E2BA18C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1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14AC8"/>
  </w:style>
  <w:style w:type="paragraph" w:styleId="a5">
    <w:name w:val="List Paragraph"/>
    <w:basedOn w:val="a"/>
    <w:uiPriority w:val="34"/>
    <w:qFormat/>
    <w:rsid w:val="00FF25BF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B90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EF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A49C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7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Anzhelika V. Shmatova</dc:creator>
  <cp:keywords/>
  <dc:description/>
  <cp:lastModifiedBy>Svetlana L. Egorova</cp:lastModifiedBy>
  <cp:revision>15</cp:revision>
  <cp:lastPrinted>2020-12-23T07:32:00Z</cp:lastPrinted>
  <dcterms:created xsi:type="dcterms:W3CDTF">2020-12-18T03:59:00Z</dcterms:created>
  <dcterms:modified xsi:type="dcterms:W3CDTF">2021-05-24T08:55:00Z</dcterms:modified>
</cp:coreProperties>
</file>